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D7B" w:rsidRDefault="005859DA" w:rsidP="008E656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C584E">
        <w:rPr>
          <w:rFonts w:ascii="方正小标宋简体" w:eastAsia="方正小标宋简体" w:hint="eastAsia"/>
          <w:bCs/>
          <w:sz w:val="44"/>
          <w:szCs w:val="44"/>
        </w:rPr>
        <w:t>综合评分表</w:t>
      </w:r>
    </w:p>
    <w:tbl>
      <w:tblPr>
        <w:tblStyle w:val="af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986"/>
        <w:gridCol w:w="1276"/>
        <w:gridCol w:w="6804"/>
      </w:tblGrid>
      <w:tr w:rsidR="002F2D7B" w:rsidTr="008C584E">
        <w:trPr>
          <w:trHeight w:val="496"/>
          <w:tblHeader/>
          <w:jc w:val="center"/>
        </w:trPr>
        <w:tc>
          <w:tcPr>
            <w:tcW w:w="710" w:type="dxa"/>
            <w:noWrap/>
            <w:vAlign w:val="center"/>
          </w:tcPr>
          <w:p w:rsidR="002F2D7B" w:rsidRDefault="005859DA">
            <w:pPr>
              <w:widowControl/>
              <w:spacing w:line="1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62" w:type="dxa"/>
            <w:gridSpan w:val="2"/>
            <w:noWrap/>
            <w:vAlign w:val="center"/>
          </w:tcPr>
          <w:p w:rsidR="002F2D7B" w:rsidRDefault="005859DA">
            <w:pPr>
              <w:widowControl/>
              <w:spacing w:line="1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评分因素</w:t>
            </w:r>
          </w:p>
        </w:tc>
        <w:tc>
          <w:tcPr>
            <w:tcW w:w="6804" w:type="dxa"/>
            <w:noWrap/>
            <w:vAlign w:val="center"/>
          </w:tcPr>
          <w:p w:rsidR="002F2D7B" w:rsidRDefault="005859DA">
            <w:pPr>
              <w:widowControl/>
              <w:spacing w:line="1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评分标准</w:t>
            </w:r>
          </w:p>
        </w:tc>
      </w:tr>
      <w:tr w:rsidR="002F2D7B" w:rsidTr="005859DA">
        <w:trPr>
          <w:trHeight w:val="90"/>
          <w:jc w:val="center"/>
        </w:trPr>
        <w:tc>
          <w:tcPr>
            <w:tcW w:w="710" w:type="dxa"/>
            <w:noWrap/>
            <w:vAlign w:val="center"/>
          </w:tcPr>
          <w:p w:rsidR="002F2D7B" w:rsidRDefault="005859DA">
            <w:pPr>
              <w:widowControl/>
              <w:spacing w:line="1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62" w:type="dxa"/>
            <w:gridSpan w:val="2"/>
            <w:noWrap/>
            <w:vAlign w:val="center"/>
          </w:tcPr>
          <w:p w:rsidR="002F2D7B" w:rsidRDefault="005859DA">
            <w:pPr>
              <w:widowControl/>
              <w:spacing w:line="1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价格部分</w:t>
            </w:r>
          </w:p>
          <w:p w:rsidR="002F2D7B" w:rsidRDefault="005859DA">
            <w:pPr>
              <w:widowControl/>
              <w:spacing w:line="1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（20分）</w:t>
            </w:r>
          </w:p>
        </w:tc>
        <w:tc>
          <w:tcPr>
            <w:tcW w:w="6804" w:type="dxa"/>
            <w:noWrap/>
            <w:vAlign w:val="center"/>
          </w:tcPr>
          <w:p w:rsidR="002F2D7B" w:rsidRDefault="005859DA" w:rsidP="00837BF2">
            <w:pPr>
              <w:widowControl/>
              <w:spacing w:line="276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1.投标报价高于评标基准价，每高1%减0.5分,得分计算公式:(100-0.5*D*100)*20%；</w:t>
            </w:r>
          </w:p>
          <w:p w:rsidR="002F2D7B" w:rsidRDefault="005859DA" w:rsidP="00837BF2">
            <w:pPr>
              <w:widowControl/>
              <w:spacing w:line="276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2.投标报价等于评标基准价（D=0)，得满分20分；</w:t>
            </w:r>
          </w:p>
          <w:p w:rsidR="002F2D7B" w:rsidRDefault="005859DA" w:rsidP="00837BF2">
            <w:pPr>
              <w:widowControl/>
              <w:spacing w:line="276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3.投标报价低于评标基准价，每降1%减0.</w:t>
            </w:r>
            <w:r w:rsidR="00DE5547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分得分计算公式:(100-0.</w:t>
            </w:r>
            <w:r w:rsidR="002B4344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*D*100)*20%。</w:t>
            </w:r>
          </w:p>
          <w:p w:rsidR="002F2D7B" w:rsidRDefault="005859DA" w:rsidP="00837BF2">
            <w:pPr>
              <w:widowControl/>
              <w:spacing w:line="276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说明:</w:t>
            </w:r>
          </w:p>
          <w:p w:rsidR="002F2D7B" w:rsidRDefault="005859DA" w:rsidP="00837BF2">
            <w:pPr>
              <w:widowControl/>
              <w:spacing w:line="276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(1)基准价计算方式:评标基准值为所有有效投标报价的（不合格投递人除外)算术平均值。</w:t>
            </w:r>
          </w:p>
          <w:p w:rsidR="002F2D7B" w:rsidRDefault="005859DA" w:rsidP="00837BF2">
            <w:pPr>
              <w:adjustRightInd w:val="0"/>
              <w:snapToGrid w:val="0"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(2)D=︱(投标报价一评标基准价)︱/评标基准价*100%。</w:t>
            </w:r>
          </w:p>
        </w:tc>
      </w:tr>
      <w:tr w:rsidR="002F2D7B" w:rsidTr="005859DA">
        <w:trPr>
          <w:trHeight w:val="1216"/>
          <w:jc w:val="center"/>
        </w:trPr>
        <w:tc>
          <w:tcPr>
            <w:tcW w:w="710" w:type="dxa"/>
            <w:vMerge w:val="restart"/>
            <w:vAlign w:val="center"/>
          </w:tcPr>
          <w:p w:rsidR="002F2D7B" w:rsidRDefault="005859DA">
            <w:pPr>
              <w:widowControl/>
              <w:spacing w:line="1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986" w:type="dxa"/>
            <w:vMerge w:val="restart"/>
            <w:vAlign w:val="center"/>
          </w:tcPr>
          <w:p w:rsidR="002F2D7B" w:rsidRDefault="005859DA">
            <w:pPr>
              <w:widowControl/>
              <w:spacing w:line="1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技术部分（40分）</w:t>
            </w:r>
          </w:p>
        </w:tc>
        <w:tc>
          <w:tcPr>
            <w:tcW w:w="1276" w:type="dxa"/>
            <w:vAlign w:val="center"/>
          </w:tcPr>
          <w:p w:rsidR="002F2D7B" w:rsidRDefault="005859DA">
            <w:pPr>
              <w:widowControl/>
              <w:spacing w:line="1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服务方案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（15分）</w:t>
            </w:r>
          </w:p>
        </w:tc>
        <w:tc>
          <w:tcPr>
            <w:tcW w:w="6804" w:type="dxa"/>
            <w:vAlign w:val="center"/>
          </w:tcPr>
          <w:p w:rsidR="002F2D7B" w:rsidRDefault="005859DA" w:rsidP="00837BF2">
            <w:pPr>
              <w:spacing w:line="276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根据投递人提供的服务方案的完整性、可行性、针对性进行评审，根据方案优劣，分档计分，优秀计15分，良好计10分，一般计5分，未提供的不计分。</w:t>
            </w:r>
          </w:p>
        </w:tc>
      </w:tr>
      <w:tr w:rsidR="002F2D7B" w:rsidTr="005859DA">
        <w:trPr>
          <w:trHeight w:val="1261"/>
          <w:jc w:val="center"/>
        </w:trPr>
        <w:tc>
          <w:tcPr>
            <w:tcW w:w="710" w:type="dxa"/>
            <w:vMerge/>
            <w:vAlign w:val="center"/>
          </w:tcPr>
          <w:p w:rsidR="002F2D7B" w:rsidRDefault="002F2D7B">
            <w:pPr>
              <w:widowControl/>
              <w:spacing w:line="1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86" w:type="dxa"/>
            <w:vMerge/>
            <w:vAlign w:val="center"/>
          </w:tcPr>
          <w:p w:rsidR="002F2D7B" w:rsidRDefault="002F2D7B">
            <w:pPr>
              <w:widowControl/>
              <w:spacing w:line="1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F2D7B" w:rsidRDefault="005859DA">
            <w:pPr>
              <w:widowControl/>
              <w:spacing w:line="120" w:lineRule="atLeast"/>
              <w:jc w:val="center"/>
              <w:rPr>
                <w:rFonts w:ascii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进度保证措施</w:t>
            </w:r>
          </w:p>
          <w:p w:rsidR="002F2D7B" w:rsidRDefault="005859DA">
            <w:pPr>
              <w:widowControl/>
              <w:spacing w:line="1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（10分）</w:t>
            </w:r>
          </w:p>
        </w:tc>
        <w:tc>
          <w:tcPr>
            <w:tcW w:w="6804" w:type="dxa"/>
            <w:vAlign w:val="center"/>
          </w:tcPr>
          <w:p w:rsidR="002F2D7B" w:rsidRDefault="005859DA" w:rsidP="00837BF2">
            <w:pPr>
              <w:widowControl/>
              <w:spacing w:line="276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根据投递人提供的实施方案</w:t>
            </w:r>
            <w:r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进度保证</w:t>
            </w:r>
            <w:r>
              <w:rPr>
                <w:rFonts w:ascii="宋体" w:hAnsi="宋体" w:hint="eastAsia"/>
                <w:szCs w:val="21"/>
              </w:rPr>
              <w:t>方案及措施的完整性、可行性、针对性、科学性分档计分，优秀计10分，良好计7分，一般计5分，未提供的不计分。</w:t>
            </w:r>
          </w:p>
        </w:tc>
      </w:tr>
      <w:tr w:rsidR="002F2D7B" w:rsidTr="005859DA">
        <w:trPr>
          <w:trHeight w:val="973"/>
          <w:jc w:val="center"/>
        </w:trPr>
        <w:tc>
          <w:tcPr>
            <w:tcW w:w="710" w:type="dxa"/>
            <w:vMerge/>
            <w:vAlign w:val="center"/>
          </w:tcPr>
          <w:p w:rsidR="002F2D7B" w:rsidRDefault="002F2D7B">
            <w:pPr>
              <w:widowControl/>
              <w:spacing w:line="1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6" w:type="dxa"/>
            <w:vMerge/>
            <w:vAlign w:val="center"/>
          </w:tcPr>
          <w:p w:rsidR="002F2D7B" w:rsidRDefault="002F2D7B">
            <w:pPr>
              <w:widowControl/>
              <w:spacing w:line="1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F2D7B" w:rsidRDefault="005859DA">
            <w:pPr>
              <w:widowControl/>
              <w:spacing w:line="1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质量保证措施</w:t>
            </w:r>
          </w:p>
          <w:p w:rsidR="002F2D7B" w:rsidRDefault="005859DA">
            <w:pPr>
              <w:widowControl/>
              <w:spacing w:line="120" w:lineRule="atLeast"/>
              <w:jc w:val="center"/>
              <w:rPr>
                <w:rFonts w:ascii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（10分）</w:t>
            </w:r>
          </w:p>
        </w:tc>
        <w:tc>
          <w:tcPr>
            <w:tcW w:w="6804" w:type="dxa"/>
            <w:vAlign w:val="center"/>
          </w:tcPr>
          <w:p w:rsidR="002F2D7B" w:rsidRDefault="005859DA" w:rsidP="00837BF2">
            <w:pPr>
              <w:widowControl/>
              <w:spacing w:line="276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根据投递人提供的实施方案质量保证方案及措施的完整性、可行性、针对性、科学性进行评审，根据方案优劣，分档计分，优秀计10分，良好计7分，一般计5分，未提供的不计分。</w:t>
            </w:r>
          </w:p>
        </w:tc>
      </w:tr>
      <w:tr w:rsidR="002F2D7B" w:rsidTr="005859DA">
        <w:trPr>
          <w:trHeight w:val="1055"/>
          <w:jc w:val="center"/>
        </w:trPr>
        <w:tc>
          <w:tcPr>
            <w:tcW w:w="710" w:type="dxa"/>
            <w:vMerge/>
            <w:vAlign w:val="center"/>
          </w:tcPr>
          <w:p w:rsidR="002F2D7B" w:rsidRDefault="002F2D7B">
            <w:pPr>
              <w:widowControl/>
              <w:spacing w:line="1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6" w:type="dxa"/>
            <w:vMerge/>
            <w:vAlign w:val="center"/>
          </w:tcPr>
          <w:p w:rsidR="002F2D7B" w:rsidRDefault="002F2D7B">
            <w:pPr>
              <w:widowControl/>
              <w:spacing w:line="1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F2D7B" w:rsidRDefault="005859DA">
            <w:pPr>
              <w:widowControl/>
              <w:spacing w:line="120" w:lineRule="atLeast"/>
              <w:jc w:val="center"/>
              <w:rPr>
                <w:rFonts w:ascii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</w:rPr>
              <w:t xml:space="preserve">廉政制度 </w:t>
            </w:r>
            <w:r>
              <w:rPr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（5分）</w:t>
            </w:r>
          </w:p>
        </w:tc>
        <w:tc>
          <w:tcPr>
            <w:tcW w:w="6804" w:type="dxa"/>
            <w:vAlign w:val="center"/>
          </w:tcPr>
          <w:p w:rsidR="002F2D7B" w:rsidRDefault="005859DA" w:rsidP="00837BF2">
            <w:pPr>
              <w:widowControl/>
              <w:spacing w:line="276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根据投递人提供的廉政制度的完整性、可行性、针对性进行评审，根据方案优劣，分档计分，优秀计5分，良好计3分，一般计1分，未提供的不计分。</w:t>
            </w:r>
          </w:p>
        </w:tc>
      </w:tr>
      <w:tr w:rsidR="002F2D7B" w:rsidTr="005859DA">
        <w:trPr>
          <w:trHeight w:val="1308"/>
          <w:jc w:val="center"/>
        </w:trPr>
        <w:tc>
          <w:tcPr>
            <w:tcW w:w="710" w:type="dxa"/>
            <w:vMerge w:val="restart"/>
            <w:vAlign w:val="center"/>
          </w:tcPr>
          <w:p w:rsidR="002F2D7B" w:rsidRDefault="005859DA">
            <w:pPr>
              <w:widowControl/>
              <w:spacing w:line="1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86" w:type="dxa"/>
            <w:vMerge w:val="restart"/>
            <w:vAlign w:val="center"/>
          </w:tcPr>
          <w:p w:rsidR="002F2D7B" w:rsidRDefault="005859DA">
            <w:pPr>
              <w:widowControl/>
              <w:spacing w:line="12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商务部分</w:t>
            </w:r>
          </w:p>
          <w:p w:rsidR="002F2D7B" w:rsidRDefault="005859DA">
            <w:pPr>
              <w:widowControl/>
              <w:spacing w:line="1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（40分）</w:t>
            </w:r>
          </w:p>
        </w:tc>
        <w:tc>
          <w:tcPr>
            <w:tcW w:w="1276" w:type="dxa"/>
            <w:vAlign w:val="center"/>
          </w:tcPr>
          <w:p w:rsidR="002F2D7B" w:rsidRDefault="005859DA">
            <w:pPr>
              <w:widowControl/>
              <w:spacing w:line="1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拟派团队综合能力</w:t>
            </w:r>
          </w:p>
          <w:p w:rsidR="002F2D7B" w:rsidRDefault="005859DA">
            <w:pPr>
              <w:widowControl/>
              <w:spacing w:line="1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（20分）</w:t>
            </w:r>
          </w:p>
        </w:tc>
        <w:tc>
          <w:tcPr>
            <w:tcW w:w="6804" w:type="dxa"/>
            <w:vAlign w:val="center"/>
          </w:tcPr>
          <w:p w:rsidR="002F2D7B" w:rsidRDefault="005859DA" w:rsidP="00837BF2">
            <w:pPr>
              <w:widowControl/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拟投入人员具有五</w:t>
            </w:r>
            <w:r w:rsidR="00B02409">
              <w:rPr>
                <w:rFonts w:ascii="宋体" w:hAnsi="宋体" w:hint="eastAsia"/>
                <w:szCs w:val="21"/>
              </w:rPr>
              <w:t>年以上</w:t>
            </w:r>
            <w:r w:rsidR="00B02409" w:rsidRPr="00B02409">
              <w:rPr>
                <w:rFonts w:ascii="宋体" w:hAnsi="宋体" w:hint="eastAsia"/>
                <w:szCs w:val="21"/>
              </w:rPr>
              <w:t>专职律师执业经验</w:t>
            </w:r>
            <w:r w:rsidR="0053234D">
              <w:rPr>
                <w:rFonts w:ascii="宋体" w:hAnsi="宋体" w:hint="eastAsia"/>
                <w:szCs w:val="21"/>
              </w:rPr>
              <w:t>的每位</w:t>
            </w:r>
            <w:r>
              <w:rPr>
                <w:rFonts w:ascii="宋体" w:hAnsi="宋体" w:hint="eastAsia"/>
                <w:szCs w:val="21"/>
              </w:rPr>
              <w:t>计</w:t>
            </w:r>
            <w:r w:rsidR="00522668"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分，最高计</w:t>
            </w:r>
            <w:r w:rsidR="00522668">
              <w:rPr>
                <w:rFonts w:ascii="宋体" w:hAnsi="宋体"/>
                <w:szCs w:val="21"/>
              </w:rPr>
              <w:t>20</w:t>
            </w:r>
            <w:r w:rsidR="00522668">
              <w:rPr>
                <w:rFonts w:ascii="宋体" w:hAnsi="宋体" w:hint="eastAsia"/>
                <w:szCs w:val="21"/>
              </w:rPr>
              <w:t>分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2F2D7B" w:rsidRDefault="005859DA" w:rsidP="00522668">
            <w:pPr>
              <w:widowControl/>
              <w:spacing w:line="276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备注：以上人员不重复计分，响应文件中须提供律师执业证书复印件，且</w:t>
            </w:r>
            <w:r w:rsidR="001C5319">
              <w:rPr>
                <w:rFonts w:ascii="宋体" w:hAnsi="宋体" w:hint="eastAsia"/>
                <w:szCs w:val="21"/>
              </w:rPr>
              <w:t>拟投入人员</w:t>
            </w:r>
            <w:r>
              <w:rPr>
                <w:rFonts w:ascii="宋体" w:hAnsi="宋体" w:hint="eastAsia"/>
                <w:szCs w:val="21"/>
              </w:rPr>
              <w:t>的注册单位须与投递人名称一致，否则不计分；以上人员需提供投递人为其购买的近三个月的社保证明，否则不计分。</w:t>
            </w:r>
          </w:p>
        </w:tc>
      </w:tr>
      <w:tr w:rsidR="002F2D7B" w:rsidTr="005859DA">
        <w:trPr>
          <w:trHeight w:val="1288"/>
          <w:jc w:val="center"/>
        </w:trPr>
        <w:tc>
          <w:tcPr>
            <w:tcW w:w="710" w:type="dxa"/>
            <w:vMerge/>
            <w:vAlign w:val="center"/>
          </w:tcPr>
          <w:p w:rsidR="002F2D7B" w:rsidRDefault="002F2D7B">
            <w:pPr>
              <w:widowControl/>
              <w:spacing w:line="1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6" w:type="dxa"/>
            <w:vMerge/>
            <w:vAlign w:val="center"/>
          </w:tcPr>
          <w:p w:rsidR="002F2D7B" w:rsidRDefault="002F2D7B">
            <w:pPr>
              <w:widowControl/>
              <w:spacing w:line="1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F2D7B" w:rsidRDefault="005859DA" w:rsidP="005859DA">
            <w:pPr>
              <w:widowControl/>
              <w:spacing w:line="1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成立时间</w:t>
            </w:r>
          </w:p>
          <w:p w:rsidR="002F2D7B" w:rsidRDefault="005859DA" w:rsidP="005859DA">
            <w:pPr>
              <w:widowControl/>
              <w:spacing w:line="1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（5分）</w:t>
            </w:r>
          </w:p>
        </w:tc>
        <w:tc>
          <w:tcPr>
            <w:tcW w:w="6804" w:type="dxa"/>
            <w:vAlign w:val="center"/>
          </w:tcPr>
          <w:p w:rsidR="002F2D7B" w:rsidRDefault="005859DA" w:rsidP="00837BF2">
            <w:pPr>
              <w:widowControl/>
              <w:spacing w:line="276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成立</w:t>
            </w:r>
            <w:r>
              <w:rPr>
                <w:rFonts w:ascii="宋体" w:hAnsi="宋体" w:hint="eastAsia"/>
                <w:szCs w:val="21"/>
              </w:rPr>
              <w:t>年限﹥12</w:t>
            </w:r>
            <w:r>
              <w:rPr>
                <w:rFonts w:ascii="宋体" w:hAnsi="宋体"/>
                <w:szCs w:val="21"/>
              </w:rPr>
              <w:t>年的计5分；</w:t>
            </w:r>
            <w:r>
              <w:rPr>
                <w:rFonts w:ascii="宋体" w:hAnsi="宋体" w:hint="eastAsia"/>
                <w:szCs w:val="21"/>
              </w:rPr>
              <w:t>10年</w:t>
            </w:r>
            <w:r>
              <w:rPr>
                <w:rFonts w:ascii="宋体" w:hAnsi="宋体"/>
                <w:szCs w:val="21"/>
              </w:rPr>
              <w:t>≦成立</w:t>
            </w:r>
            <w:r>
              <w:rPr>
                <w:rFonts w:ascii="宋体" w:hAnsi="宋体" w:hint="eastAsia"/>
                <w:szCs w:val="21"/>
              </w:rPr>
              <w:t>年限≦12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的</w:t>
            </w:r>
            <w:r>
              <w:rPr>
                <w:rFonts w:ascii="宋体" w:hAnsi="宋体"/>
                <w:szCs w:val="21"/>
              </w:rPr>
              <w:t>计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分；</w:t>
            </w:r>
            <w:r>
              <w:rPr>
                <w:rFonts w:ascii="宋体" w:hAnsi="宋体" w:hint="eastAsia"/>
                <w:szCs w:val="21"/>
              </w:rPr>
              <w:t>5年</w:t>
            </w:r>
            <w:r>
              <w:rPr>
                <w:rFonts w:ascii="宋体" w:hAnsi="宋体"/>
                <w:szCs w:val="21"/>
              </w:rPr>
              <w:t>≦成立</w:t>
            </w:r>
            <w:r>
              <w:rPr>
                <w:rFonts w:ascii="宋体" w:hAnsi="宋体" w:hint="eastAsia"/>
                <w:szCs w:val="21"/>
              </w:rPr>
              <w:t>年限</w:t>
            </w:r>
            <w:r>
              <w:rPr>
                <w:rFonts w:ascii="宋体" w:hAnsi="宋体"/>
                <w:szCs w:val="21"/>
              </w:rPr>
              <w:t>≦</w:t>
            </w:r>
            <w:r>
              <w:rPr>
                <w:rFonts w:ascii="宋体" w:hAnsi="宋体" w:hint="eastAsia"/>
                <w:szCs w:val="21"/>
              </w:rPr>
              <w:t>9年的</w:t>
            </w:r>
            <w:r>
              <w:rPr>
                <w:rFonts w:ascii="宋体" w:hAnsi="宋体"/>
                <w:szCs w:val="21"/>
              </w:rPr>
              <w:t>计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分；成立</w:t>
            </w:r>
            <w:r>
              <w:rPr>
                <w:rFonts w:ascii="宋体" w:hAnsi="宋体" w:hint="eastAsia"/>
                <w:szCs w:val="21"/>
              </w:rPr>
              <w:t>年限﹤5年的不计分</w:t>
            </w:r>
            <w:r>
              <w:rPr>
                <w:rFonts w:ascii="宋体" w:hAnsi="宋体"/>
                <w:szCs w:val="21"/>
              </w:rPr>
              <w:t>。（以</w:t>
            </w:r>
            <w:r w:rsidR="00B02409">
              <w:rPr>
                <w:rFonts w:ascii="宋体" w:hAnsi="宋体" w:hint="eastAsia"/>
                <w:szCs w:val="21"/>
              </w:rPr>
              <w:t>律师</w:t>
            </w:r>
            <w:r>
              <w:rPr>
                <w:rFonts w:ascii="宋体" w:hAnsi="宋体"/>
                <w:szCs w:val="21"/>
              </w:rPr>
              <w:t>事务所执业</w:t>
            </w:r>
            <w:r w:rsidR="00B02409">
              <w:rPr>
                <w:rFonts w:ascii="宋体" w:hAnsi="宋体" w:hint="eastAsia"/>
                <w:szCs w:val="21"/>
              </w:rPr>
              <w:t>许可证</w:t>
            </w:r>
            <w:r>
              <w:rPr>
                <w:rFonts w:ascii="宋体" w:hAnsi="宋体"/>
                <w:szCs w:val="21"/>
              </w:rPr>
              <w:t>的</w:t>
            </w:r>
            <w:r>
              <w:rPr>
                <w:rFonts w:ascii="宋体" w:hAnsi="宋体" w:hint="eastAsia"/>
                <w:szCs w:val="21"/>
              </w:rPr>
              <w:t>批准执业</w:t>
            </w:r>
            <w:r>
              <w:rPr>
                <w:rFonts w:ascii="宋体" w:hAnsi="宋体"/>
                <w:szCs w:val="21"/>
              </w:rPr>
              <w:t>日期为准。）</w:t>
            </w:r>
          </w:p>
        </w:tc>
      </w:tr>
      <w:tr w:rsidR="002F2D7B" w:rsidTr="005859DA">
        <w:trPr>
          <w:trHeight w:val="909"/>
          <w:jc w:val="center"/>
        </w:trPr>
        <w:tc>
          <w:tcPr>
            <w:tcW w:w="710" w:type="dxa"/>
            <w:vMerge/>
            <w:vAlign w:val="center"/>
          </w:tcPr>
          <w:p w:rsidR="002F2D7B" w:rsidRDefault="002F2D7B">
            <w:pPr>
              <w:widowControl/>
              <w:spacing w:line="1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6" w:type="dxa"/>
            <w:vMerge/>
            <w:vAlign w:val="center"/>
          </w:tcPr>
          <w:p w:rsidR="002F2D7B" w:rsidRDefault="002F2D7B">
            <w:pPr>
              <w:widowControl/>
              <w:spacing w:line="1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F2D7B" w:rsidRDefault="005859DA" w:rsidP="005859DA">
            <w:pPr>
              <w:widowControl/>
              <w:spacing w:line="1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类似业绩（12分）</w:t>
            </w:r>
          </w:p>
        </w:tc>
        <w:tc>
          <w:tcPr>
            <w:tcW w:w="6804" w:type="dxa"/>
            <w:vAlign w:val="center"/>
          </w:tcPr>
          <w:p w:rsidR="00B02409" w:rsidRDefault="005859DA" w:rsidP="00837BF2">
            <w:pPr>
              <w:widowControl/>
              <w:spacing w:line="276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投递人</w:t>
            </w:r>
            <w:r w:rsidR="005B7E71">
              <w:rPr>
                <w:rFonts w:ascii="宋体" w:hAnsi="宋体" w:cs="宋体" w:hint="eastAsia"/>
                <w:szCs w:val="21"/>
              </w:rPr>
              <w:t>此次服务团队</w:t>
            </w:r>
            <w:r w:rsidR="00B02409">
              <w:rPr>
                <w:rFonts w:ascii="宋体" w:hAnsi="宋体" w:cs="宋体" w:hint="eastAsia"/>
                <w:szCs w:val="21"/>
              </w:rPr>
              <w:t>近五年内有代理投资人参与</w:t>
            </w:r>
            <w:r w:rsidR="00B02409" w:rsidRPr="00B02409">
              <w:rPr>
                <w:rFonts w:ascii="宋体" w:hAnsi="宋体" w:cs="宋体" w:hint="eastAsia"/>
                <w:szCs w:val="21"/>
              </w:rPr>
              <w:t>破产重整项目</w:t>
            </w:r>
            <w:r w:rsidR="00B02409">
              <w:rPr>
                <w:rFonts w:ascii="宋体" w:hAnsi="宋体" w:cs="宋体" w:hint="eastAsia"/>
                <w:szCs w:val="21"/>
              </w:rPr>
              <w:t>，</w:t>
            </w:r>
            <w:r w:rsidR="00B02409" w:rsidRPr="00B02409">
              <w:rPr>
                <w:rFonts w:ascii="宋体" w:hAnsi="宋体" w:cs="宋体" w:hint="eastAsia"/>
                <w:szCs w:val="21"/>
              </w:rPr>
              <w:t>提供法律服务的经验</w:t>
            </w:r>
            <w:r>
              <w:rPr>
                <w:rFonts w:ascii="宋体" w:hAnsi="宋体" w:cs="宋体" w:hint="eastAsia"/>
                <w:szCs w:val="21"/>
              </w:rPr>
              <w:t>。每个业绩计2分，最高计</w:t>
            </w:r>
            <w:r w:rsidR="00B02409">
              <w:rPr>
                <w:rFonts w:ascii="宋体" w:hAnsi="宋体" w:cs="宋体"/>
                <w:szCs w:val="21"/>
              </w:rPr>
              <w:t>6</w:t>
            </w:r>
            <w:r>
              <w:rPr>
                <w:rFonts w:ascii="宋体" w:hAnsi="宋体" w:cs="宋体" w:hint="eastAsia"/>
                <w:szCs w:val="21"/>
              </w:rPr>
              <w:t>分。</w:t>
            </w:r>
          </w:p>
          <w:p w:rsidR="00B02409" w:rsidRDefault="00B02409" w:rsidP="00837BF2">
            <w:pPr>
              <w:widowControl/>
              <w:spacing w:line="276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投递人</w:t>
            </w:r>
            <w:r w:rsidR="00230F35">
              <w:rPr>
                <w:rFonts w:ascii="宋体" w:hAnsi="宋体" w:cs="宋体" w:hint="eastAsia"/>
                <w:szCs w:val="21"/>
              </w:rPr>
              <w:t>此次服务团队</w:t>
            </w:r>
            <w:r>
              <w:rPr>
                <w:rFonts w:ascii="宋体" w:hAnsi="宋体" w:cs="宋体" w:hint="eastAsia"/>
                <w:szCs w:val="21"/>
              </w:rPr>
              <w:t>近三</w:t>
            </w:r>
            <w:r w:rsidRPr="00B02409">
              <w:rPr>
                <w:rFonts w:ascii="宋体" w:hAnsi="宋体" w:cs="宋体" w:hint="eastAsia"/>
                <w:szCs w:val="21"/>
              </w:rPr>
              <w:t>年内有</w:t>
            </w:r>
            <w:r>
              <w:rPr>
                <w:rFonts w:ascii="宋体" w:hAnsi="宋体" w:cs="宋体" w:hint="eastAsia"/>
                <w:szCs w:val="21"/>
              </w:rPr>
              <w:t>股权收购项目</w:t>
            </w:r>
            <w:r w:rsidRPr="00B02409">
              <w:rPr>
                <w:rFonts w:ascii="宋体" w:hAnsi="宋体" w:cs="宋体" w:hint="eastAsia"/>
                <w:szCs w:val="21"/>
              </w:rPr>
              <w:t>提供</w:t>
            </w:r>
            <w:r w:rsidR="006E348B">
              <w:rPr>
                <w:rFonts w:ascii="宋体" w:hAnsi="宋体" w:cs="宋体" w:hint="eastAsia"/>
                <w:szCs w:val="21"/>
              </w:rPr>
              <w:t>专项</w:t>
            </w:r>
            <w:r w:rsidRPr="00B02409">
              <w:rPr>
                <w:rFonts w:ascii="宋体" w:hAnsi="宋体" w:cs="宋体" w:hint="eastAsia"/>
                <w:szCs w:val="21"/>
              </w:rPr>
              <w:t>法律服务的经验</w:t>
            </w:r>
            <w:r>
              <w:rPr>
                <w:rFonts w:ascii="宋体" w:hAnsi="宋体" w:cs="宋体" w:hint="eastAsia"/>
                <w:szCs w:val="21"/>
              </w:rPr>
              <w:t>。每个业绩计2分，最高计</w:t>
            </w:r>
            <w:r>
              <w:rPr>
                <w:rFonts w:ascii="宋体" w:hAnsi="宋体" w:cs="宋体"/>
                <w:szCs w:val="21"/>
              </w:rPr>
              <w:t>6</w:t>
            </w:r>
            <w:r>
              <w:rPr>
                <w:rFonts w:ascii="宋体" w:hAnsi="宋体" w:cs="宋体" w:hint="eastAsia"/>
                <w:szCs w:val="21"/>
              </w:rPr>
              <w:t>分。</w:t>
            </w:r>
          </w:p>
          <w:p w:rsidR="002F2D7B" w:rsidRDefault="005859DA" w:rsidP="00837BF2">
            <w:pPr>
              <w:widowControl/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（响应文件须提供合同及正式</w:t>
            </w:r>
            <w:r w:rsidR="00B02409">
              <w:rPr>
                <w:rFonts w:ascii="宋体" w:hAnsi="宋体" w:cs="宋体" w:hint="eastAsia"/>
                <w:szCs w:val="21"/>
              </w:rPr>
              <w:t>法律服务报告</w:t>
            </w:r>
            <w:r>
              <w:rPr>
                <w:rFonts w:ascii="宋体" w:hAnsi="宋体" w:cs="宋体" w:hint="eastAsia"/>
                <w:szCs w:val="21"/>
              </w:rPr>
              <w:t>的复印件，其中正式</w:t>
            </w:r>
            <w:r w:rsidR="00B02409">
              <w:rPr>
                <w:rFonts w:ascii="宋体" w:hAnsi="宋体" w:cs="宋体" w:hint="eastAsia"/>
                <w:szCs w:val="21"/>
              </w:rPr>
              <w:t>法律意见书</w:t>
            </w:r>
            <w:r>
              <w:rPr>
                <w:rFonts w:ascii="宋体" w:hAnsi="宋体" w:cs="宋体" w:hint="eastAsia"/>
                <w:szCs w:val="21"/>
              </w:rPr>
              <w:t>提供封面、体现委托人和该项目</w:t>
            </w:r>
            <w:r w:rsidR="00B02409">
              <w:rPr>
                <w:rFonts w:ascii="宋体" w:hAnsi="宋体" w:cs="宋体" w:hint="eastAsia"/>
                <w:szCs w:val="21"/>
              </w:rPr>
              <w:t>法律专项服务</w:t>
            </w:r>
            <w:r>
              <w:rPr>
                <w:rFonts w:ascii="宋体" w:hAnsi="宋体" w:cs="宋体" w:hint="eastAsia"/>
                <w:szCs w:val="21"/>
              </w:rPr>
              <w:t>内容关键信息以及</w:t>
            </w:r>
            <w:r w:rsidR="00837BF2">
              <w:rPr>
                <w:rFonts w:ascii="宋体" w:hAnsi="宋体" w:cs="宋体" w:hint="eastAsia"/>
                <w:szCs w:val="21"/>
              </w:rPr>
              <w:t>服务律师名称</w:t>
            </w:r>
            <w:r>
              <w:rPr>
                <w:rFonts w:ascii="宋体" w:hAnsi="宋体" w:cs="宋体" w:hint="eastAsia"/>
                <w:szCs w:val="21"/>
              </w:rPr>
              <w:t>签章并且加盖投递人单位公章等关键页，否则不计分。）</w:t>
            </w:r>
          </w:p>
        </w:tc>
      </w:tr>
      <w:tr w:rsidR="002F2D7B" w:rsidTr="005859DA">
        <w:trPr>
          <w:trHeight w:val="800"/>
          <w:jc w:val="center"/>
        </w:trPr>
        <w:tc>
          <w:tcPr>
            <w:tcW w:w="710" w:type="dxa"/>
            <w:vMerge/>
            <w:vAlign w:val="center"/>
          </w:tcPr>
          <w:p w:rsidR="002F2D7B" w:rsidRDefault="002F2D7B">
            <w:pPr>
              <w:widowControl/>
              <w:spacing w:line="1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6" w:type="dxa"/>
            <w:vMerge/>
            <w:vAlign w:val="center"/>
          </w:tcPr>
          <w:p w:rsidR="002F2D7B" w:rsidRDefault="002F2D7B">
            <w:pPr>
              <w:widowControl/>
              <w:spacing w:line="1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F2D7B" w:rsidRPr="00837BF2" w:rsidRDefault="005859DA" w:rsidP="005859DA">
            <w:pPr>
              <w:widowControl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837BF2">
              <w:rPr>
                <w:rFonts w:ascii="宋体" w:hAnsi="宋体" w:cs="宋体" w:hint="eastAsia"/>
                <w:szCs w:val="21"/>
              </w:rPr>
              <w:t>保密措施</w:t>
            </w:r>
          </w:p>
          <w:p w:rsidR="002F2D7B" w:rsidRPr="00837BF2" w:rsidRDefault="005859DA" w:rsidP="005859DA">
            <w:pPr>
              <w:widowControl/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837BF2">
              <w:rPr>
                <w:rFonts w:ascii="宋体" w:hAnsi="宋体" w:cs="宋体" w:hint="eastAsia"/>
                <w:szCs w:val="21"/>
              </w:rPr>
              <w:t>（3分）</w:t>
            </w:r>
          </w:p>
        </w:tc>
        <w:tc>
          <w:tcPr>
            <w:tcW w:w="6804" w:type="dxa"/>
            <w:vAlign w:val="center"/>
          </w:tcPr>
          <w:p w:rsidR="002F2D7B" w:rsidRPr="00837BF2" w:rsidRDefault="005859DA" w:rsidP="00837BF2">
            <w:pPr>
              <w:widowControl/>
              <w:spacing w:line="276" w:lineRule="auto"/>
              <w:rPr>
                <w:rFonts w:ascii="宋体" w:hAnsi="宋体" w:cs="宋体"/>
                <w:szCs w:val="21"/>
              </w:rPr>
            </w:pPr>
            <w:r w:rsidRPr="00837BF2">
              <w:rPr>
                <w:rFonts w:ascii="宋体" w:hAnsi="宋体" w:cs="宋体" w:hint="eastAsia"/>
                <w:szCs w:val="21"/>
              </w:rPr>
              <w:t>承诺对审计单位的所有信息保密的计3分。（ 响应文件中须提供承诺书原件，否则不计分。）</w:t>
            </w:r>
          </w:p>
        </w:tc>
      </w:tr>
    </w:tbl>
    <w:p w:rsidR="002F2D7B" w:rsidRDefault="005859DA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注：</w:t>
      </w:r>
    </w:p>
    <w:p w:rsidR="002F2D7B" w:rsidRDefault="005859DA">
      <w:pPr>
        <w:numPr>
          <w:ilvl w:val="255"/>
          <w:numId w:val="0"/>
        </w:num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1.上表中近三个月指从202</w:t>
      </w:r>
      <w:r w:rsidR="00853620">
        <w:rPr>
          <w:rFonts w:ascii="宋体" w:hAnsi="宋体" w:cs="宋体"/>
          <w:szCs w:val="21"/>
        </w:rPr>
        <w:t>4</w:t>
      </w:r>
      <w:r>
        <w:rPr>
          <w:rFonts w:ascii="宋体" w:hAnsi="宋体" w:cs="宋体" w:hint="eastAsia"/>
          <w:szCs w:val="21"/>
        </w:rPr>
        <w:t>年</w:t>
      </w:r>
      <w:r w:rsidR="00853620">
        <w:rPr>
          <w:rFonts w:ascii="宋体" w:hAnsi="宋体" w:cs="宋体"/>
          <w:szCs w:val="21"/>
        </w:rPr>
        <w:t>1</w:t>
      </w:r>
      <w:r>
        <w:rPr>
          <w:rFonts w:ascii="宋体" w:hAnsi="宋体" w:cs="宋体" w:hint="eastAsia"/>
          <w:szCs w:val="21"/>
        </w:rPr>
        <w:t>月</w:t>
      </w:r>
      <w:r w:rsidR="00B02409">
        <w:rPr>
          <w:rFonts w:ascii="宋体" w:hAnsi="宋体" w:cs="宋体"/>
          <w:szCs w:val="21"/>
        </w:rPr>
        <w:t>1</w:t>
      </w:r>
      <w:r>
        <w:rPr>
          <w:rFonts w:ascii="宋体" w:hAnsi="宋体" w:cs="宋体" w:hint="eastAsia"/>
          <w:szCs w:val="21"/>
        </w:rPr>
        <w:t>日至202</w:t>
      </w:r>
      <w:r w:rsidR="00B02409">
        <w:rPr>
          <w:rFonts w:ascii="宋体" w:hAnsi="宋体" w:cs="宋体"/>
          <w:szCs w:val="21"/>
        </w:rPr>
        <w:t>4</w:t>
      </w:r>
      <w:r>
        <w:rPr>
          <w:rFonts w:ascii="宋体" w:hAnsi="宋体" w:cs="宋体" w:hint="eastAsia"/>
          <w:szCs w:val="21"/>
        </w:rPr>
        <w:t>年</w:t>
      </w:r>
      <w:r w:rsidR="00853620">
        <w:rPr>
          <w:rFonts w:ascii="宋体" w:hAnsi="宋体" w:cs="宋体"/>
          <w:szCs w:val="21"/>
        </w:rPr>
        <w:t>3</w:t>
      </w:r>
      <w:r>
        <w:rPr>
          <w:rFonts w:ascii="宋体" w:hAnsi="宋体" w:cs="宋体" w:hint="eastAsia"/>
          <w:szCs w:val="21"/>
        </w:rPr>
        <w:t>月</w:t>
      </w:r>
      <w:r w:rsidR="00853620">
        <w:rPr>
          <w:rFonts w:ascii="宋体" w:hAnsi="宋体" w:cs="宋体"/>
          <w:szCs w:val="21"/>
        </w:rPr>
        <w:t>31</w:t>
      </w:r>
      <w:r>
        <w:rPr>
          <w:rFonts w:ascii="宋体" w:hAnsi="宋体" w:cs="宋体" w:hint="eastAsia"/>
          <w:szCs w:val="21"/>
        </w:rPr>
        <w:t>日；</w:t>
      </w:r>
    </w:p>
    <w:p w:rsidR="002F2D7B" w:rsidRDefault="005859DA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2.上表中近三年指从202</w:t>
      </w:r>
      <w:r w:rsidR="00837BF2">
        <w:rPr>
          <w:rFonts w:ascii="宋体" w:hAnsi="宋体" w:cs="宋体"/>
          <w:szCs w:val="21"/>
        </w:rPr>
        <w:t>1</w:t>
      </w:r>
      <w:r>
        <w:rPr>
          <w:rFonts w:ascii="宋体" w:hAnsi="宋体" w:cs="宋体" w:hint="eastAsia"/>
          <w:szCs w:val="21"/>
        </w:rPr>
        <w:t>年</w:t>
      </w:r>
      <w:r w:rsidR="00853620">
        <w:rPr>
          <w:rFonts w:ascii="宋体" w:hAnsi="宋体" w:cs="宋体"/>
          <w:szCs w:val="21"/>
        </w:rPr>
        <w:t>3</w:t>
      </w:r>
      <w:r>
        <w:rPr>
          <w:rFonts w:ascii="宋体" w:hAnsi="宋体" w:cs="宋体" w:hint="eastAsia"/>
          <w:szCs w:val="21"/>
        </w:rPr>
        <w:t>月</w:t>
      </w:r>
      <w:r w:rsidR="00853620">
        <w:rPr>
          <w:rFonts w:ascii="宋体" w:hAnsi="宋体" w:cs="宋体"/>
          <w:szCs w:val="21"/>
        </w:rPr>
        <w:t>31</w:t>
      </w:r>
      <w:r>
        <w:rPr>
          <w:rFonts w:ascii="宋体" w:hAnsi="宋体" w:cs="宋体" w:hint="eastAsia"/>
          <w:szCs w:val="21"/>
        </w:rPr>
        <w:t>日至202</w:t>
      </w:r>
      <w:r w:rsidR="006E348B">
        <w:rPr>
          <w:rFonts w:ascii="宋体" w:hAnsi="宋体" w:cs="宋体"/>
          <w:szCs w:val="21"/>
        </w:rPr>
        <w:t>4</w:t>
      </w:r>
      <w:r>
        <w:rPr>
          <w:rFonts w:ascii="宋体" w:hAnsi="宋体" w:cs="宋体" w:hint="eastAsia"/>
          <w:szCs w:val="21"/>
        </w:rPr>
        <w:t>年</w:t>
      </w:r>
      <w:r w:rsidR="00853620">
        <w:rPr>
          <w:rFonts w:ascii="宋体" w:hAnsi="宋体" w:cs="宋体"/>
          <w:szCs w:val="21"/>
        </w:rPr>
        <w:t>3</w:t>
      </w:r>
      <w:r>
        <w:rPr>
          <w:rFonts w:ascii="宋体" w:hAnsi="宋体" w:cs="宋体" w:hint="eastAsia"/>
          <w:szCs w:val="21"/>
        </w:rPr>
        <w:t>月</w:t>
      </w:r>
      <w:r w:rsidR="00853620">
        <w:rPr>
          <w:rFonts w:ascii="宋体" w:hAnsi="宋体" w:cs="宋体"/>
          <w:szCs w:val="21"/>
        </w:rPr>
        <w:t>31</w:t>
      </w:r>
      <w:r w:rsidR="006E348B">
        <w:rPr>
          <w:rFonts w:ascii="宋体" w:hAnsi="宋体" w:cs="宋体" w:hint="eastAsia"/>
          <w:szCs w:val="21"/>
        </w:rPr>
        <w:t>日；</w:t>
      </w:r>
    </w:p>
    <w:p w:rsidR="006E348B" w:rsidRDefault="006E348B">
      <w:pPr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3</w:t>
      </w:r>
      <w:r>
        <w:rPr>
          <w:rFonts w:ascii="宋体" w:hAnsi="宋体" w:cs="宋体" w:hint="eastAsia"/>
          <w:szCs w:val="21"/>
        </w:rPr>
        <w:t>.上表中近</w:t>
      </w:r>
      <w:r w:rsidR="00837BF2">
        <w:rPr>
          <w:rFonts w:ascii="宋体" w:hAnsi="宋体" w:cs="宋体" w:hint="eastAsia"/>
          <w:szCs w:val="21"/>
        </w:rPr>
        <w:t>五</w:t>
      </w:r>
      <w:r>
        <w:rPr>
          <w:rFonts w:ascii="宋体" w:hAnsi="宋体" w:cs="宋体" w:hint="eastAsia"/>
          <w:szCs w:val="21"/>
        </w:rPr>
        <w:t>年指从20</w:t>
      </w:r>
      <w:r w:rsidR="00837BF2">
        <w:rPr>
          <w:rFonts w:ascii="宋体" w:hAnsi="宋体" w:cs="宋体"/>
          <w:szCs w:val="21"/>
        </w:rPr>
        <w:t>19</w:t>
      </w:r>
      <w:r>
        <w:rPr>
          <w:rFonts w:ascii="宋体" w:hAnsi="宋体" w:cs="宋体" w:hint="eastAsia"/>
          <w:szCs w:val="21"/>
        </w:rPr>
        <w:t>年</w:t>
      </w:r>
      <w:r w:rsidR="00853620">
        <w:rPr>
          <w:rFonts w:ascii="宋体" w:hAnsi="宋体" w:cs="宋体"/>
          <w:szCs w:val="21"/>
        </w:rPr>
        <w:t>3</w:t>
      </w:r>
      <w:r>
        <w:rPr>
          <w:rFonts w:ascii="宋体" w:hAnsi="宋体" w:cs="宋体" w:hint="eastAsia"/>
          <w:szCs w:val="21"/>
        </w:rPr>
        <w:t>月</w:t>
      </w:r>
      <w:r w:rsidR="00853620">
        <w:rPr>
          <w:rFonts w:ascii="宋体" w:hAnsi="宋体" w:cs="宋体"/>
          <w:szCs w:val="21"/>
        </w:rPr>
        <w:t>31</w:t>
      </w:r>
      <w:r>
        <w:rPr>
          <w:rFonts w:ascii="宋体" w:hAnsi="宋体" w:cs="宋体" w:hint="eastAsia"/>
          <w:szCs w:val="21"/>
        </w:rPr>
        <w:t>日至202</w:t>
      </w:r>
      <w:r>
        <w:rPr>
          <w:rFonts w:ascii="宋体" w:hAnsi="宋体" w:cs="宋体"/>
          <w:szCs w:val="21"/>
        </w:rPr>
        <w:t>4</w:t>
      </w:r>
      <w:r>
        <w:rPr>
          <w:rFonts w:ascii="宋体" w:hAnsi="宋体" w:cs="宋体" w:hint="eastAsia"/>
          <w:szCs w:val="21"/>
        </w:rPr>
        <w:t>年</w:t>
      </w:r>
      <w:r w:rsidR="00853620">
        <w:rPr>
          <w:rFonts w:ascii="宋体" w:hAnsi="宋体" w:cs="宋体"/>
          <w:szCs w:val="21"/>
        </w:rPr>
        <w:t>3</w:t>
      </w:r>
      <w:r>
        <w:rPr>
          <w:rFonts w:ascii="宋体" w:hAnsi="宋体" w:cs="宋体" w:hint="eastAsia"/>
          <w:szCs w:val="21"/>
        </w:rPr>
        <w:t>月</w:t>
      </w:r>
      <w:r w:rsidR="00853620">
        <w:rPr>
          <w:rFonts w:ascii="宋体" w:hAnsi="宋体" w:cs="宋体"/>
          <w:szCs w:val="21"/>
        </w:rPr>
        <w:t>31</w:t>
      </w:r>
      <w:r>
        <w:rPr>
          <w:rFonts w:ascii="宋体" w:hAnsi="宋体" w:cs="宋体" w:hint="eastAsia"/>
          <w:szCs w:val="21"/>
        </w:rPr>
        <w:t>日。</w:t>
      </w:r>
    </w:p>
    <w:sectPr w:rsidR="006E348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ZjZDBiMzMxZGEzMDYyNjZiYWJjOTA2NTYwYTA2Y2IifQ=="/>
  </w:docVars>
  <w:rsids>
    <w:rsidRoot w:val="00102495"/>
    <w:rsid w:val="00002375"/>
    <w:rsid w:val="000D4147"/>
    <w:rsid w:val="00102495"/>
    <w:rsid w:val="001C3A16"/>
    <w:rsid w:val="001C5319"/>
    <w:rsid w:val="001D4922"/>
    <w:rsid w:val="00207D03"/>
    <w:rsid w:val="0021167A"/>
    <w:rsid w:val="00230F35"/>
    <w:rsid w:val="00242014"/>
    <w:rsid w:val="002425E9"/>
    <w:rsid w:val="002B4344"/>
    <w:rsid w:val="002F2D7B"/>
    <w:rsid w:val="00302C50"/>
    <w:rsid w:val="00396C83"/>
    <w:rsid w:val="00402A63"/>
    <w:rsid w:val="00404327"/>
    <w:rsid w:val="00404D2D"/>
    <w:rsid w:val="00414445"/>
    <w:rsid w:val="00447043"/>
    <w:rsid w:val="00471D1A"/>
    <w:rsid w:val="004D4962"/>
    <w:rsid w:val="00506A64"/>
    <w:rsid w:val="00522668"/>
    <w:rsid w:val="0053234D"/>
    <w:rsid w:val="005362C2"/>
    <w:rsid w:val="00542944"/>
    <w:rsid w:val="005859DA"/>
    <w:rsid w:val="005B7E71"/>
    <w:rsid w:val="005E1318"/>
    <w:rsid w:val="00621B3D"/>
    <w:rsid w:val="006A69DD"/>
    <w:rsid w:val="006E2B41"/>
    <w:rsid w:val="006E348B"/>
    <w:rsid w:val="006E729B"/>
    <w:rsid w:val="007248BF"/>
    <w:rsid w:val="00742EF1"/>
    <w:rsid w:val="00783DD7"/>
    <w:rsid w:val="00784C51"/>
    <w:rsid w:val="00796D61"/>
    <w:rsid w:val="007E27EF"/>
    <w:rsid w:val="007F3D5E"/>
    <w:rsid w:val="00817B90"/>
    <w:rsid w:val="00825226"/>
    <w:rsid w:val="00837BF2"/>
    <w:rsid w:val="00853620"/>
    <w:rsid w:val="008C32B7"/>
    <w:rsid w:val="008C584E"/>
    <w:rsid w:val="008E6560"/>
    <w:rsid w:val="008F30DF"/>
    <w:rsid w:val="00963657"/>
    <w:rsid w:val="00982CD5"/>
    <w:rsid w:val="00983A68"/>
    <w:rsid w:val="009D0182"/>
    <w:rsid w:val="009F6E26"/>
    <w:rsid w:val="00A60EE8"/>
    <w:rsid w:val="00AE4ED4"/>
    <w:rsid w:val="00B02409"/>
    <w:rsid w:val="00B35BCD"/>
    <w:rsid w:val="00C619B8"/>
    <w:rsid w:val="00CA4BF0"/>
    <w:rsid w:val="00D31531"/>
    <w:rsid w:val="00DE5547"/>
    <w:rsid w:val="00E2359E"/>
    <w:rsid w:val="00E25088"/>
    <w:rsid w:val="00E2786F"/>
    <w:rsid w:val="00E46258"/>
    <w:rsid w:val="00EB6618"/>
    <w:rsid w:val="00EC06D1"/>
    <w:rsid w:val="00EE17E1"/>
    <w:rsid w:val="00F52028"/>
    <w:rsid w:val="00F806E7"/>
    <w:rsid w:val="00FA5E75"/>
    <w:rsid w:val="00FF6205"/>
    <w:rsid w:val="01113D6B"/>
    <w:rsid w:val="01396E1E"/>
    <w:rsid w:val="014852B3"/>
    <w:rsid w:val="01F36FCC"/>
    <w:rsid w:val="021358C1"/>
    <w:rsid w:val="02712D78"/>
    <w:rsid w:val="027A76EE"/>
    <w:rsid w:val="027F4D04"/>
    <w:rsid w:val="033F4A2C"/>
    <w:rsid w:val="036B5288"/>
    <w:rsid w:val="04357D70"/>
    <w:rsid w:val="051060E7"/>
    <w:rsid w:val="053A13B6"/>
    <w:rsid w:val="05686E86"/>
    <w:rsid w:val="058645FB"/>
    <w:rsid w:val="05A0746B"/>
    <w:rsid w:val="05DD06BF"/>
    <w:rsid w:val="05EF21A1"/>
    <w:rsid w:val="06163B39"/>
    <w:rsid w:val="06345E06"/>
    <w:rsid w:val="06DF2215"/>
    <w:rsid w:val="0865499C"/>
    <w:rsid w:val="08BD20E2"/>
    <w:rsid w:val="092E4967"/>
    <w:rsid w:val="093C5C8E"/>
    <w:rsid w:val="098470A4"/>
    <w:rsid w:val="0A243623"/>
    <w:rsid w:val="0AC62ADE"/>
    <w:rsid w:val="0B9F01C5"/>
    <w:rsid w:val="0BC32105"/>
    <w:rsid w:val="0BD22349"/>
    <w:rsid w:val="0C2A5CE1"/>
    <w:rsid w:val="0C4807B5"/>
    <w:rsid w:val="0C4843B9"/>
    <w:rsid w:val="0CE2480D"/>
    <w:rsid w:val="0D006A41"/>
    <w:rsid w:val="0DA25D4B"/>
    <w:rsid w:val="0DB93494"/>
    <w:rsid w:val="0E124C7E"/>
    <w:rsid w:val="0E2A1FC8"/>
    <w:rsid w:val="0E4532A6"/>
    <w:rsid w:val="0E9C09EC"/>
    <w:rsid w:val="0F7D6A6F"/>
    <w:rsid w:val="0FF46D31"/>
    <w:rsid w:val="103510F8"/>
    <w:rsid w:val="10B4201D"/>
    <w:rsid w:val="11553800"/>
    <w:rsid w:val="126D2DCB"/>
    <w:rsid w:val="13824654"/>
    <w:rsid w:val="141258FF"/>
    <w:rsid w:val="14A405FA"/>
    <w:rsid w:val="14AB7BDB"/>
    <w:rsid w:val="14B7224E"/>
    <w:rsid w:val="15437E13"/>
    <w:rsid w:val="16734728"/>
    <w:rsid w:val="167C538B"/>
    <w:rsid w:val="17343EB7"/>
    <w:rsid w:val="17AD5A18"/>
    <w:rsid w:val="184620F4"/>
    <w:rsid w:val="1890336F"/>
    <w:rsid w:val="18A84B5D"/>
    <w:rsid w:val="18AE7C99"/>
    <w:rsid w:val="18C43019"/>
    <w:rsid w:val="192561AE"/>
    <w:rsid w:val="19483C4A"/>
    <w:rsid w:val="199A59BC"/>
    <w:rsid w:val="1A2521DD"/>
    <w:rsid w:val="1A324AE4"/>
    <w:rsid w:val="1AA9696A"/>
    <w:rsid w:val="1ADD03C2"/>
    <w:rsid w:val="1B8F5B60"/>
    <w:rsid w:val="1BC53330"/>
    <w:rsid w:val="1CB6536F"/>
    <w:rsid w:val="1CC63804"/>
    <w:rsid w:val="1DED4DC0"/>
    <w:rsid w:val="1F5D7D23"/>
    <w:rsid w:val="1FAF67D1"/>
    <w:rsid w:val="20743577"/>
    <w:rsid w:val="21162B31"/>
    <w:rsid w:val="21645399"/>
    <w:rsid w:val="21A63C04"/>
    <w:rsid w:val="21D97B35"/>
    <w:rsid w:val="21FE57EE"/>
    <w:rsid w:val="221C5C74"/>
    <w:rsid w:val="221E5BE9"/>
    <w:rsid w:val="222A0391"/>
    <w:rsid w:val="22592A24"/>
    <w:rsid w:val="228E4DC3"/>
    <w:rsid w:val="22B12860"/>
    <w:rsid w:val="230230BC"/>
    <w:rsid w:val="23445482"/>
    <w:rsid w:val="235D4796"/>
    <w:rsid w:val="239C52BE"/>
    <w:rsid w:val="23DC1B5F"/>
    <w:rsid w:val="23F92711"/>
    <w:rsid w:val="240370EB"/>
    <w:rsid w:val="243B4AD7"/>
    <w:rsid w:val="245F009A"/>
    <w:rsid w:val="249C2281"/>
    <w:rsid w:val="250C1FD0"/>
    <w:rsid w:val="25553977"/>
    <w:rsid w:val="25CB3C39"/>
    <w:rsid w:val="25CD5C03"/>
    <w:rsid w:val="260929B3"/>
    <w:rsid w:val="2661634B"/>
    <w:rsid w:val="274243CE"/>
    <w:rsid w:val="27514612"/>
    <w:rsid w:val="27A91D58"/>
    <w:rsid w:val="281F026C"/>
    <w:rsid w:val="2828082C"/>
    <w:rsid w:val="28551EE0"/>
    <w:rsid w:val="296D07FE"/>
    <w:rsid w:val="29890093"/>
    <w:rsid w:val="29CF575A"/>
    <w:rsid w:val="29E10432"/>
    <w:rsid w:val="29ED36EB"/>
    <w:rsid w:val="2A043BBD"/>
    <w:rsid w:val="2A1B0CC3"/>
    <w:rsid w:val="2A44220C"/>
    <w:rsid w:val="2ADA66CC"/>
    <w:rsid w:val="2AF21C68"/>
    <w:rsid w:val="2B852ADC"/>
    <w:rsid w:val="2BFB2D9E"/>
    <w:rsid w:val="2C7D37B3"/>
    <w:rsid w:val="2C8E59C0"/>
    <w:rsid w:val="2CD47877"/>
    <w:rsid w:val="2CEF46B1"/>
    <w:rsid w:val="2CFA4E04"/>
    <w:rsid w:val="2D26209C"/>
    <w:rsid w:val="2D947006"/>
    <w:rsid w:val="2DCA4E52"/>
    <w:rsid w:val="2E045F3A"/>
    <w:rsid w:val="2E772BB0"/>
    <w:rsid w:val="2EC24693"/>
    <w:rsid w:val="2ECC182D"/>
    <w:rsid w:val="2F162DA0"/>
    <w:rsid w:val="2F634EE2"/>
    <w:rsid w:val="2F8A6913"/>
    <w:rsid w:val="3049232A"/>
    <w:rsid w:val="30913CD1"/>
    <w:rsid w:val="30CE282F"/>
    <w:rsid w:val="31321010"/>
    <w:rsid w:val="31701B38"/>
    <w:rsid w:val="317E6003"/>
    <w:rsid w:val="345614B9"/>
    <w:rsid w:val="34B65AB4"/>
    <w:rsid w:val="34F12F90"/>
    <w:rsid w:val="35374E47"/>
    <w:rsid w:val="35A85D44"/>
    <w:rsid w:val="35AD5109"/>
    <w:rsid w:val="35D07049"/>
    <w:rsid w:val="35DE3514"/>
    <w:rsid w:val="35F76384"/>
    <w:rsid w:val="366A124C"/>
    <w:rsid w:val="36F154C9"/>
    <w:rsid w:val="372F1B4E"/>
    <w:rsid w:val="37310A0F"/>
    <w:rsid w:val="374E46CA"/>
    <w:rsid w:val="37623CD1"/>
    <w:rsid w:val="38242439"/>
    <w:rsid w:val="38997BC6"/>
    <w:rsid w:val="39477622"/>
    <w:rsid w:val="396106E4"/>
    <w:rsid w:val="398443D3"/>
    <w:rsid w:val="3A296D28"/>
    <w:rsid w:val="3A4A561C"/>
    <w:rsid w:val="3AE27603"/>
    <w:rsid w:val="3B1B48C3"/>
    <w:rsid w:val="3BA66882"/>
    <w:rsid w:val="3BB0325D"/>
    <w:rsid w:val="3C4D31A2"/>
    <w:rsid w:val="3C6F136A"/>
    <w:rsid w:val="3C803E2D"/>
    <w:rsid w:val="3C8B7826"/>
    <w:rsid w:val="3CBA010B"/>
    <w:rsid w:val="3D4E0F7F"/>
    <w:rsid w:val="3D695EAF"/>
    <w:rsid w:val="3D9D3CB5"/>
    <w:rsid w:val="3DBD6105"/>
    <w:rsid w:val="3DCB0822"/>
    <w:rsid w:val="3DD86A9B"/>
    <w:rsid w:val="3DDF42CD"/>
    <w:rsid w:val="3E5F540E"/>
    <w:rsid w:val="3E86299B"/>
    <w:rsid w:val="3EA11583"/>
    <w:rsid w:val="3EA64DEB"/>
    <w:rsid w:val="3F2D2E17"/>
    <w:rsid w:val="3F4B503E"/>
    <w:rsid w:val="3FD96707"/>
    <w:rsid w:val="40F77B80"/>
    <w:rsid w:val="41BD0482"/>
    <w:rsid w:val="424B0183"/>
    <w:rsid w:val="43574906"/>
    <w:rsid w:val="438F1F6D"/>
    <w:rsid w:val="43FF1225"/>
    <w:rsid w:val="442962A2"/>
    <w:rsid w:val="443609BF"/>
    <w:rsid w:val="445B0426"/>
    <w:rsid w:val="451C7BB5"/>
    <w:rsid w:val="453E5D7D"/>
    <w:rsid w:val="45464C32"/>
    <w:rsid w:val="459736E0"/>
    <w:rsid w:val="465B64BB"/>
    <w:rsid w:val="46841EB6"/>
    <w:rsid w:val="46B06807"/>
    <w:rsid w:val="46F012F9"/>
    <w:rsid w:val="47372A84"/>
    <w:rsid w:val="47497073"/>
    <w:rsid w:val="48435459"/>
    <w:rsid w:val="48BB76E5"/>
    <w:rsid w:val="491312CF"/>
    <w:rsid w:val="498D72D3"/>
    <w:rsid w:val="4A162E25"/>
    <w:rsid w:val="4A1E1CDA"/>
    <w:rsid w:val="4A317C5F"/>
    <w:rsid w:val="4A6A4F1F"/>
    <w:rsid w:val="4A946440"/>
    <w:rsid w:val="4AC40AD3"/>
    <w:rsid w:val="4B1D4687"/>
    <w:rsid w:val="4B645E12"/>
    <w:rsid w:val="4B7324F9"/>
    <w:rsid w:val="4B924099"/>
    <w:rsid w:val="4BFC429C"/>
    <w:rsid w:val="4C340F72"/>
    <w:rsid w:val="4C4E208D"/>
    <w:rsid w:val="4D6E2F78"/>
    <w:rsid w:val="4E612ADD"/>
    <w:rsid w:val="4E8A1DB1"/>
    <w:rsid w:val="4F010748"/>
    <w:rsid w:val="4FD95B8A"/>
    <w:rsid w:val="50212524"/>
    <w:rsid w:val="50E33C7D"/>
    <w:rsid w:val="51200A2D"/>
    <w:rsid w:val="51487D1C"/>
    <w:rsid w:val="51583D23"/>
    <w:rsid w:val="516650CC"/>
    <w:rsid w:val="51C27D36"/>
    <w:rsid w:val="523227C6"/>
    <w:rsid w:val="52E8557B"/>
    <w:rsid w:val="53226CDE"/>
    <w:rsid w:val="5334256E"/>
    <w:rsid w:val="538A6632"/>
    <w:rsid w:val="53EA0E7E"/>
    <w:rsid w:val="53F02939"/>
    <w:rsid w:val="54C85664"/>
    <w:rsid w:val="54DE6C35"/>
    <w:rsid w:val="551E34D6"/>
    <w:rsid w:val="554747DA"/>
    <w:rsid w:val="56821842"/>
    <w:rsid w:val="5717642E"/>
    <w:rsid w:val="57763155"/>
    <w:rsid w:val="578C73DF"/>
    <w:rsid w:val="57E91B79"/>
    <w:rsid w:val="57EA3B43"/>
    <w:rsid w:val="587F428B"/>
    <w:rsid w:val="59036C6A"/>
    <w:rsid w:val="59284923"/>
    <w:rsid w:val="598C31B3"/>
    <w:rsid w:val="59CF2FF0"/>
    <w:rsid w:val="5A4D0DF5"/>
    <w:rsid w:val="5AE40D1D"/>
    <w:rsid w:val="5B465534"/>
    <w:rsid w:val="5B637E94"/>
    <w:rsid w:val="5B995664"/>
    <w:rsid w:val="5C02145B"/>
    <w:rsid w:val="5C245875"/>
    <w:rsid w:val="5C4307BC"/>
    <w:rsid w:val="5D55380D"/>
    <w:rsid w:val="5D891708"/>
    <w:rsid w:val="5DF64FF0"/>
    <w:rsid w:val="5E1436C8"/>
    <w:rsid w:val="5E59557E"/>
    <w:rsid w:val="5E873E9A"/>
    <w:rsid w:val="5EBB3B43"/>
    <w:rsid w:val="5EC62C14"/>
    <w:rsid w:val="5EE96902"/>
    <w:rsid w:val="5F50072F"/>
    <w:rsid w:val="5F825EDE"/>
    <w:rsid w:val="5F8B1768"/>
    <w:rsid w:val="6025396A"/>
    <w:rsid w:val="6085265B"/>
    <w:rsid w:val="60C767CF"/>
    <w:rsid w:val="60D07D7A"/>
    <w:rsid w:val="60DD3EE4"/>
    <w:rsid w:val="60E750C3"/>
    <w:rsid w:val="61314591"/>
    <w:rsid w:val="615A3AE7"/>
    <w:rsid w:val="6166248C"/>
    <w:rsid w:val="62143C96"/>
    <w:rsid w:val="62AA45FB"/>
    <w:rsid w:val="63091321"/>
    <w:rsid w:val="63B3128D"/>
    <w:rsid w:val="63D556A7"/>
    <w:rsid w:val="64030466"/>
    <w:rsid w:val="64A01811"/>
    <w:rsid w:val="64C179D9"/>
    <w:rsid w:val="64EB560C"/>
    <w:rsid w:val="665B6338"/>
    <w:rsid w:val="668F5FE1"/>
    <w:rsid w:val="670F0ED0"/>
    <w:rsid w:val="675114E9"/>
    <w:rsid w:val="68B46F62"/>
    <w:rsid w:val="68F77E6E"/>
    <w:rsid w:val="69270753"/>
    <w:rsid w:val="69472BA3"/>
    <w:rsid w:val="695B21AB"/>
    <w:rsid w:val="697119CE"/>
    <w:rsid w:val="69747710"/>
    <w:rsid w:val="699F653B"/>
    <w:rsid w:val="69BA5C11"/>
    <w:rsid w:val="6A031C3D"/>
    <w:rsid w:val="6A107439"/>
    <w:rsid w:val="6A184540"/>
    <w:rsid w:val="6A681023"/>
    <w:rsid w:val="6A9C7D94"/>
    <w:rsid w:val="6C7F08A6"/>
    <w:rsid w:val="6C922387"/>
    <w:rsid w:val="6CB06CB1"/>
    <w:rsid w:val="6CDC7AA6"/>
    <w:rsid w:val="6D6D4BA2"/>
    <w:rsid w:val="6DC42A14"/>
    <w:rsid w:val="6E184B0E"/>
    <w:rsid w:val="6ED547AD"/>
    <w:rsid w:val="6FBB39A3"/>
    <w:rsid w:val="6FE0340A"/>
    <w:rsid w:val="6FEF7AF1"/>
    <w:rsid w:val="6FFF2C28"/>
    <w:rsid w:val="70E707C8"/>
    <w:rsid w:val="7104137A"/>
    <w:rsid w:val="72C214EC"/>
    <w:rsid w:val="72DF209E"/>
    <w:rsid w:val="730E64E0"/>
    <w:rsid w:val="73216213"/>
    <w:rsid w:val="73840550"/>
    <w:rsid w:val="739C1D3D"/>
    <w:rsid w:val="749F7D37"/>
    <w:rsid w:val="75183646"/>
    <w:rsid w:val="752746A2"/>
    <w:rsid w:val="75B07D22"/>
    <w:rsid w:val="76263B40"/>
    <w:rsid w:val="76554E72"/>
    <w:rsid w:val="76634D94"/>
    <w:rsid w:val="768E1E11"/>
    <w:rsid w:val="769B452E"/>
    <w:rsid w:val="76A72ED3"/>
    <w:rsid w:val="76B15B00"/>
    <w:rsid w:val="76C43A85"/>
    <w:rsid w:val="76D417EE"/>
    <w:rsid w:val="76D90BB3"/>
    <w:rsid w:val="77882D05"/>
    <w:rsid w:val="77F43EF6"/>
    <w:rsid w:val="79492020"/>
    <w:rsid w:val="79554E68"/>
    <w:rsid w:val="79A100AE"/>
    <w:rsid w:val="79B7167F"/>
    <w:rsid w:val="79F91C98"/>
    <w:rsid w:val="7A440A39"/>
    <w:rsid w:val="7A5B64AE"/>
    <w:rsid w:val="7AFB37ED"/>
    <w:rsid w:val="7B8B4B71"/>
    <w:rsid w:val="7B95779E"/>
    <w:rsid w:val="7BBF0545"/>
    <w:rsid w:val="7BE6624C"/>
    <w:rsid w:val="7C134B67"/>
    <w:rsid w:val="7CD267D0"/>
    <w:rsid w:val="7CDE33C7"/>
    <w:rsid w:val="7D032E2D"/>
    <w:rsid w:val="7DFF35F5"/>
    <w:rsid w:val="7E461224"/>
    <w:rsid w:val="7E5F5D01"/>
    <w:rsid w:val="7EDE145C"/>
    <w:rsid w:val="7F3C6183"/>
    <w:rsid w:val="7F3F47A0"/>
    <w:rsid w:val="7F94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96CDC"/>
  <w15:docId w15:val="{28E1B294-EC6E-4D1D-B2A1-69E9E07D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uiPriority="0" w:qFormat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ody Text Indent"/>
    <w:basedOn w:val="a"/>
    <w:next w:val="a6"/>
    <w:qFormat/>
    <w:pPr>
      <w:spacing w:line="520" w:lineRule="atLeast"/>
      <w:ind w:firstLine="480"/>
    </w:pPr>
    <w:rPr>
      <w:rFonts w:ascii="宋体" w:hAnsi="Calibri"/>
      <w:sz w:val="28"/>
    </w:rPr>
  </w:style>
  <w:style w:type="paragraph" w:styleId="a6">
    <w:name w:val="envelope return"/>
    <w:basedOn w:val="a"/>
    <w:qFormat/>
    <w:rPr>
      <w:rFonts w:ascii="Arial" w:hAnsi="Arial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b/>
      <w:bCs/>
    </w:rPr>
  </w:style>
  <w:style w:type="paragraph" w:styleId="2">
    <w:name w:val="Body Text First Indent 2"/>
    <w:basedOn w:val="a5"/>
    <w:next w:val="a"/>
    <w:qFormat/>
    <w:pPr>
      <w:autoSpaceDE w:val="0"/>
      <w:autoSpaceDN w:val="0"/>
      <w:adjustRightInd w:val="0"/>
      <w:spacing w:after="120"/>
      <w:ind w:leftChars="200" w:left="420" w:firstLine="420"/>
    </w:pPr>
    <w:rPr>
      <w:sz w:val="21"/>
    </w:rPr>
  </w:style>
  <w:style w:type="table" w:styleId="af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character" w:customStyle="1" w:styleId="ac">
    <w:name w:val="页眉 字符"/>
    <w:basedOn w:val="a0"/>
    <w:link w:val="ab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4"/>
    </w:rPr>
  </w:style>
  <w:style w:type="character" w:customStyle="1" w:styleId="ae">
    <w:name w:val="批注主题 字符"/>
    <w:basedOn w:val="a4"/>
    <w:link w:val="ad"/>
    <w:uiPriority w:val="99"/>
    <w:semiHidden/>
    <w:qFormat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麓山城资</cp:lastModifiedBy>
  <cp:revision>15</cp:revision>
  <cp:lastPrinted>2024-04-18T01:16:00Z</cp:lastPrinted>
  <dcterms:created xsi:type="dcterms:W3CDTF">2024-03-21T06:06:00Z</dcterms:created>
  <dcterms:modified xsi:type="dcterms:W3CDTF">2024-04-19T08:07:00Z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58D66F64E15740BDBBE2F3335F3F40F7_13</vt:lpwstr>
  </property>
</Properties>
</file>